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7" w:tblpY="511"/>
        <w:tblW w:w="1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62A90">
        <w:trPr>
          <w:cantSplit/>
          <w:trHeight w:val="567"/>
        </w:trPr>
        <w:tc>
          <w:tcPr>
            <w:tcW w:w="1581" w:type="dxa"/>
          </w:tcPr>
          <w:p w:rsidR="00A62A90" w:rsidRDefault="00A62A90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A62A90" w:rsidRDefault="00A62A90">
      <w:pPr>
        <w:pStyle w:val="ConsNonformat0"/>
        <w:widowControl/>
        <w:tabs>
          <w:tab w:val="left" w:pos="4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2A90" w:rsidRDefault="00A62A90">
      <w:pPr>
        <w:pStyle w:val="ConsNonformat0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>Правомерно ли отстранение несовершеннолетних лиц, не привитых против кори, от учебного процесса?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</w:t>
      </w:r>
      <w:r>
        <w:rPr>
          <w:sz w:val="27"/>
          <w:szCs w:val="27"/>
        </w:rPr>
        <w:t>.2012 № 273-ФЗ «Об образовании в Российской Федерации» о приоритете жизни и здоровья человека,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</w:t>
      </w:r>
      <w:r>
        <w:rPr>
          <w:sz w:val="27"/>
          <w:szCs w:val="27"/>
        </w:rPr>
        <w:t>ации не отстраняются из учебного коллектива.</w:t>
      </w:r>
      <w:proofErr w:type="gramEnd"/>
      <w:r>
        <w:rPr>
          <w:sz w:val="27"/>
          <w:szCs w:val="27"/>
        </w:rPr>
        <w:t xml:space="preserve"> 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</w:t>
      </w:r>
      <w:r>
        <w:rPr>
          <w:sz w:val="27"/>
          <w:szCs w:val="27"/>
        </w:rPr>
        <w:t xml:space="preserve">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Если ребенок впервые привит после выявления очага инфекции, то он </w:t>
      </w:r>
      <w:r>
        <w:rPr>
          <w:sz w:val="27"/>
          <w:szCs w:val="27"/>
        </w:rPr>
        <w:t>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Какие новые методы </w:t>
      </w:r>
      <w:r>
        <w:rPr>
          <w:sz w:val="27"/>
          <w:szCs w:val="27"/>
        </w:rPr>
        <w:t>мошенничества в социальных сетях?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</w:t>
      </w:r>
      <w:r>
        <w:rPr>
          <w:sz w:val="27"/>
          <w:szCs w:val="27"/>
        </w:rPr>
        <w:t xml:space="preserve">део-звонка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мобильных </w:t>
      </w:r>
      <w:proofErr w:type="spellStart"/>
      <w:r>
        <w:rPr>
          <w:sz w:val="27"/>
          <w:szCs w:val="27"/>
        </w:rPr>
        <w:t>мессенджерах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Ватсап</w:t>
      </w:r>
      <w:proofErr w:type="spellEnd"/>
      <w:r>
        <w:rPr>
          <w:sz w:val="27"/>
          <w:szCs w:val="27"/>
        </w:rPr>
        <w:t>, Телеграмм).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Алгоритм их действий весьма прост: чтобы отвести подозрение и получить доверие со стороны потерпевших, мошенники звонят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мобильные </w:t>
      </w:r>
      <w:proofErr w:type="spellStart"/>
      <w:r>
        <w:rPr>
          <w:sz w:val="27"/>
          <w:szCs w:val="27"/>
        </w:rPr>
        <w:t>мессенджеры</w:t>
      </w:r>
      <w:proofErr w:type="spellEnd"/>
      <w:r>
        <w:rPr>
          <w:sz w:val="27"/>
          <w:szCs w:val="27"/>
        </w:rPr>
        <w:t xml:space="preserve"> и представляются сотрудниками правоохранительных орган</w:t>
      </w:r>
      <w:r>
        <w:rPr>
          <w:sz w:val="27"/>
          <w:szCs w:val="27"/>
        </w:rPr>
        <w:t>ов. При этом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звонок сопровождается видео-вызовом и демонстрацией служебного удостоверения.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этом кроется опасность, поскольку потерпевший начинает думать: не скрывает себя, </w:t>
      </w:r>
      <w:proofErr w:type="gramStart"/>
      <w:r>
        <w:rPr>
          <w:sz w:val="27"/>
          <w:szCs w:val="27"/>
        </w:rPr>
        <w:t>значит обмана нет</w:t>
      </w:r>
      <w:proofErr w:type="gramEnd"/>
      <w:r>
        <w:rPr>
          <w:sz w:val="27"/>
          <w:szCs w:val="27"/>
        </w:rPr>
        <w:t>!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в ходе телефонного разговора применяют методы психол</w:t>
      </w:r>
      <w:r>
        <w:rPr>
          <w:sz w:val="27"/>
          <w:szCs w:val="27"/>
        </w:rPr>
        <w:t xml:space="preserve">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</w:t>
      </w:r>
      <w:r>
        <w:rPr>
          <w:sz w:val="27"/>
          <w:szCs w:val="27"/>
        </w:rPr>
        <w:t>денежные средства на подконтрольные мошенникам счета.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Важно помнить, что сотрудники правоохранительных органов не осуществляют звонки гражданам, в том числе видео-звонки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мобильные </w:t>
      </w:r>
      <w:proofErr w:type="spellStart"/>
      <w:r>
        <w:rPr>
          <w:sz w:val="27"/>
          <w:szCs w:val="27"/>
        </w:rPr>
        <w:t>мессенджеры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Ватсап</w:t>
      </w:r>
      <w:proofErr w:type="spellEnd"/>
      <w:r>
        <w:rPr>
          <w:sz w:val="27"/>
          <w:szCs w:val="27"/>
        </w:rPr>
        <w:t>, Телеграмм).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При поступлении подобного звонка необход</w:t>
      </w:r>
      <w:r>
        <w:rPr>
          <w:sz w:val="27"/>
          <w:szCs w:val="27"/>
        </w:rPr>
        <w:t>имо прервать разговор и обратиться в полицию по номеру 112.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3. Какая административная ответственность за незаконный оборот наркотических средств, психотропных веществ или их аналогов?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Статьей 6.8 </w:t>
      </w:r>
      <w:proofErr w:type="spellStart"/>
      <w:r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 xml:space="preserve"> РФ за незаконный оборот наркотических средств, психотро</w:t>
      </w:r>
      <w:r>
        <w:rPr>
          <w:sz w:val="27"/>
          <w:szCs w:val="27"/>
        </w:rPr>
        <w:t xml:space="preserve">пных веществ или их аналогов и незаконные приобретение, хранение, </w:t>
      </w:r>
      <w:r>
        <w:rPr>
          <w:sz w:val="27"/>
          <w:szCs w:val="27"/>
        </w:rPr>
        <w:lastRenderedPageBreak/>
        <w:t>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</w:t>
      </w:r>
      <w:r>
        <w:rPr>
          <w:sz w:val="27"/>
          <w:szCs w:val="27"/>
        </w:rPr>
        <w:t>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</w:t>
      </w:r>
      <w:proofErr w:type="gramEnd"/>
      <w:r>
        <w:rPr>
          <w:sz w:val="27"/>
          <w:szCs w:val="27"/>
        </w:rPr>
        <w:t>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Если указанное административное правонарушение совершено иностранным гражданином или лицом без г</w:t>
      </w:r>
      <w:r>
        <w:rPr>
          <w:sz w:val="27"/>
          <w:szCs w:val="27"/>
        </w:rPr>
        <w:t xml:space="preserve">ражданства, то кроме уплаты штрафа или отбытия административного ареста, виновный подлежит </w:t>
      </w:r>
      <w:proofErr w:type="gramStart"/>
      <w:r>
        <w:rPr>
          <w:sz w:val="27"/>
          <w:szCs w:val="27"/>
        </w:rPr>
        <w:t>выдворению</w:t>
      </w:r>
      <w:proofErr w:type="gramEnd"/>
      <w:r>
        <w:rPr>
          <w:sz w:val="27"/>
          <w:szCs w:val="27"/>
        </w:rPr>
        <w:t xml:space="preserve"> за пределы Российской Федерации.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Не подлежит привлечению к административной ответственности лицо, добровольно сдавшее приобретенные без цели сбыта </w:t>
      </w:r>
      <w:r>
        <w:rPr>
          <w:sz w:val="27"/>
          <w:szCs w:val="27"/>
        </w:rPr>
        <w:t>наркотические средства,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средства или психотропные вещества.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4. В каких случаях можно получать пенсию в </w:t>
      </w:r>
      <w:proofErr w:type="spellStart"/>
      <w:r>
        <w:rPr>
          <w:sz w:val="27"/>
          <w:szCs w:val="27"/>
        </w:rPr>
        <w:t>безз</w:t>
      </w:r>
      <w:r>
        <w:rPr>
          <w:sz w:val="27"/>
          <w:szCs w:val="27"/>
        </w:rPr>
        <w:t>аявительном</w:t>
      </w:r>
      <w:proofErr w:type="spellEnd"/>
      <w:r>
        <w:rPr>
          <w:sz w:val="27"/>
          <w:szCs w:val="27"/>
        </w:rPr>
        <w:t xml:space="preserve"> порядке?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С 01.01.2024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</w:t>
      </w:r>
      <w:r>
        <w:rPr>
          <w:sz w:val="27"/>
          <w:szCs w:val="27"/>
        </w:rPr>
        <w:t xml:space="preserve">оба родителя которых неизвестны, будут назначаться в </w:t>
      </w:r>
      <w:proofErr w:type="spellStart"/>
      <w:r>
        <w:rPr>
          <w:sz w:val="27"/>
          <w:szCs w:val="27"/>
        </w:rPr>
        <w:t>беззаявительном</w:t>
      </w:r>
      <w:proofErr w:type="spellEnd"/>
      <w:r>
        <w:rPr>
          <w:sz w:val="27"/>
          <w:szCs w:val="27"/>
        </w:rPr>
        <w:t xml:space="preserve"> порядке.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Так, назначение страховой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</w:t>
      </w:r>
      <w:r>
        <w:rPr>
          <w:sz w:val="27"/>
          <w:szCs w:val="27"/>
        </w:rPr>
        <w:t>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proofErr w:type="gramStart"/>
      <w:r>
        <w:rPr>
          <w:sz w:val="27"/>
          <w:szCs w:val="27"/>
        </w:rPr>
        <w:t>Перечисленные виды пенсий назначает территориал</w:t>
      </w:r>
      <w:r>
        <w:rPr>
          <w:sz w:val="27"/>
          <w:szCs w:val="27"/>
        </w:rPr>
        <w:t>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</w:t>
      </w:r>
      <w:r>
        <w:rPr>
          <w:sz w:val="27"/>
          <w:szCs w:val="27"/>
        </w:rPr>
        <w:t>о инвалидности или социальной пенсии по инвалидности в течение трех рабочих дней со дня вынесения решения о назначении.</w:t>
      </w:r>
      <w:proofErr w:type="gramEnd"/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Аналогичные правила устанавливаются при назначении страховой пенсии или социальной пенсии по случаю потери кормильца. Страховые и социал</w:t>
      </w:r>
      <w:r>
        <w:rPr>
          <w:sz w:val="27"/>
          <w:szCs w:val="27"/>
        </w:rPr>
        <w:t>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Вводится также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беззаявительный</w:t>
      </w:r>
      <w:proofErr w:type="spellEnd"/>
      <w:r>
        <w:rPr>
          <w:sz w:val="27"/>
          <w:szCs w:val="27"/>
        </w:rPr>
        <w:t xml:space="preserve"> перерасчет фиксированной выплаты к страховой пенсии по старости и по инвалидности.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5. Какие новые основания проведения документарных проверок в 2024 году?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Постановлением Правительства Российской Федерации от 23.05.2024 № 637 внесены измене</w:t>
      </w:r>
      <w:r>
        <w:rPr>
          <w:sz w:val="27"/>
          <w:szCs w:val="27"/>
        </w:rPr>
        <w:t>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</w:t>
      </w:r>
      <w:r>
        <w:rPr>
          <w:sz w:val="27"/>
          <w:szCs w:val="27"/>
        </w:rPr>
        <w:t>рок.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любых товаров или продукции (оборудования либо сре</w:t>
      </w:r>
      <w:proofErr w:type="gramStart"/>
      <w:r>
        <w:rPr>
          <w:sz w:val="27"/>
          <w:szCs w:val="27"/>
        </w:rPr>
        <w:t>дств дл</w:t>
      </w:r>
      <w:proofErr w:type="gramEnd"/>
      <w:r>
        <w:rPr>
          <w:sz w:val="27"/>
          <w:szCs w:val="27"/>
        </w:rPr>
        <w:t>я их производства),</w:t>
      </w:r>
      <w:r>
        <w:rPr>
          <w:sz w:val="27"/>
          <w:szCs w:val="27"/>
        </w:rPr>
        <w:t xml:space="preserve">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вещей (из числа орудий или предметов административного нарушени</w:t>
      </w:r>
      <w:r>
        <w:rPr>
          <w:sz w:val="27"/>
          <w:szCs w:val="27"/>
        </w:rPr>
        <w:t>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:rsidR="00A62A90" w:rsidRDefault="005B018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62A90" w:rsidRDefault="00A62A90">
      <w:pPr>
        <w:pStyle w:val="a9"/>
        <w:tabs>
          <w:tab w:val="left" w:pos="540"/>
        </w:tabs>
        <w:ind w:firstLine="709"/>
        <w:rPr>
          <w:sz w:val="27"/>
          <w:szCs w:val="27"/>
        </w:rPr>
      </w:pPr>
    </w:p>
    <w:p w:rsidR="00A62A90" w:rsidRDefault="00A62A90" w:rsidP="001360CB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A62A90" w:rsidSect="00A62A90">
      <w:headerReference w:type="default" r:id="rId9"/>
      <w:headerReference w:type="first" r:id="rId10"/>
      <w:footerReference w:type="first" r:id="rId11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83" w:rsidRDefault="005B0183" w:rsidP="00A62A90">
      <w:pPr>
        <w:spacing w:after="0" w:line="240" w:lineRule="auto"/>
      </w:pPr>
      <w:r>
        <w:separator/>
      </w:r>
    </w:p>
  </w:endnote>
  <w:endnote w:type="continuationSeparator" w:id="0">
    <w:p w:rsidR="005B0183" w:rsidRDefault="005B0183" w:rsidP="00A6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90" w:rsidRDefault="00A62A90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83" w:rsidRDefault="005B0183" w:rsidP="00A62A90">
      <w:pPr>
        <w:spacing w:after="0" w:line="240" w:lineRule="auto"/>
      </w:pPr>
      <w:r>
        <w:separator/>
      </w:r>
    </w:p>
  </w:footnote>
  <w:footnote w:type="continuationSeparator" w:id="0">
    <w:p w:rsidR="005B0183" w:rsidRDefault="005B0183" w:rsidP="00A6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400184"/>
      <w:docPartObj>
        <w:docPartGallery w:val="Page Numbers (Top of Page)"/>
        <w:docPartUnique/>
      </w:docPartObj>
    </w:sdtPr>
    <w:sdtContent>
      <w:p w:rsidR="00A62A90" w:rsidRDefault="00A62A90">
        <w:pPr>
          <w:pStyle w:val="Header"/>
          <w:jc w:val="center"/>
        </w:pPr>
        <w:r>
          <w:fldChar w:fldCharType="begin"/>
        </w:r>
        <w:r w:rsidR="005B0183">
          <w:instrText xml:space="preserve"> PAGE </w:instrText>
        </w:r>
        <w:r>
          <w:fldChar w:fldCharType="separate"/>
        </w:r>
        <w:r w:rsidR="001360CB">
          <w:rPr>
            <w:noProof/>
          </w:rPr>
          <w:t>2</w:t>
        </w:r>
        <w:r>
          <w:fldChar w:fldCharType="end"/>
        </w:r>
      </w:p>
    </w:sdtContent>
  </w:sdt>
  <w:p w:rsidR="00A62A90" w:rsidRDefault="00A62A9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90" w:rsidRDefault="00A62A90">
    <w:pPr>
      <w:pStyle w:val="Header"/>
      <w:jc w:val="center"/>
    </w:pPr>
  </w:p>
  <w:p w:rsidR="00A62A90" w:rsidRDefault="00A62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A90"/>
    <w:rsid w:val="00114E8A"/>
    <w:rsid w:val="001360CB"/>
    <w:rsid w:val="005B0183"/>
    <w:rsid w:val="00A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7212FD"/>
  </w:style>
  <w:style w:type="character" w:customStyle="1" w:styleId="a4">
    <w:name w:val="Нижний колонтитул Знак"/>
    <w:basedOn w:val="a0"/>
    <w:link w:val="Footer"/>
    <w:uiPriority w:val="99"/>
    <w:qFormat/>
    <w:rsid w:val="007212FD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3C2B52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qFormat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6403C9"/>
    <w:rPr>
      <w:color w:val="0563C1" w:themeColor="hyperlink"/>
      <w:u w:val="single"/>
    </w:rPr>
  </w:style>
  <w:style w:type="character" w:customStyle="1" w:styleId="a8">
    <w:name w:val="Основной текст Знак"/>
    <w:basedOn w:val="a0"/>
    <w:link w:val="a9"/>
    <w:uiPriority w:val="99"/>
    <w:qFormat/>
    <w:rsid w:val="0064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9"/>
    <w:qFormat/>
    <w:rsid w:val="00A62A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unhideWhenUsed/>
    <w:rsid w:val="00640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A62A90"/>
    <w:rPr>
      <w:rFonts w:cs="Arial"/>
    </w:rPr>
  </w:style>
  <w:style w:type="paragraph" w:customStyle="1" w:styleId="Caption">
    <w:name w:val="Caption"/>
    <w:basedOn w:val="a"/>
    <w:qFormat/>
    <w:rsid w:val="00A62A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62A90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A62A90"/>
  </w:style>
  <w:style w:type="paragraph" w:customStyle="1" w:styleId="Header">
    <w:name w:val="Header"/>
    <w:basedOn w:val="a"/>
    <w:link w:val="a3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qFormat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0">
    <w:name w:val="ConsNonformat"/>
    <w:link w:val="ConsNonformat"/>
    <w:qFormat/>
    <w:rsid w:val="00345F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A62A90"/>
  </w:style>
  <w:style w:type="table" w:styleId="af">
    <w:name w:val="Table Grid"/>
    <w:basedOn w:val="a1"/>
    <w:uiPriority w:val="39"/>
    <w:rsid w:val="0008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semiHidden/>
    <w:unhideWhenUsed/>
    <w:rsid w:val="001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0"/>
    <w:uiPriority w:val="99"/>
    <w:semiHidden/>
    <w:rsid w:val="001360CB"/>
  </w:style>
  <w:style w:type="paragraph" w:styleId="af1">
    <w:name w:val="footer"/>
    <w:basedOn w:val="a"/>
    <w:link w:val="11"/>
    <w:uiPriority w:val="99"/>
    <w:semiHidden/>
    <w:unhideWhenUsed/>
    <w:rsid w:val="001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1"/>
    <w:uiPriority w:val="99"/>
    <w:semiHidden/>
    <w:rsid w:val="001360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52810-81ED-4822-B498-A705A16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5609</Characters>
  <Application>Microsoft Office Word</Application>
  <DocSecurity>0</DocSecurity>
  <Lines>46</Lines>
  <Paragraphs>13</Paragraphs>
  <ScaleCrop>false</ScaleCrop>
  <Company>HP Inc.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Сергей Сергеевич</dc:creator>
  <cp:lastModifiedBy>Пользователь</cp:lastModifiedBy>
  <cp:revision>3</cp:revision>
  <cp:lastPrinted>2024-08-08T06:26:00Z</cp:lastPrinted>
  <dcterms:created xsi:type="dcterms:W3CDTF">2024-08-09T04:48:00Z</dcterms:created>
  <dcterms:modified xsi:type="dcterms:W3CDTF">2024-08-09T05:10:00Z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